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883" w:right="902" w:hanging="0"/>
        <w:jc w:val="center"/>
        <w:rPr>
          <w:sz w:val="32"/>
        </w:rPr>
      </w:pPr>
      <w:r>
        <w:rPr>
          <w:sz w:val="32"/>
        </w:rPr>
        <w:t xml:space="preserve">Информация </w:t>
      </w:r>
    </w:p>
    <w:p>
      <w:pPr>
        <w:pStyle w:val="Normal"/>
        <w:ind w:left="883" w:right="902" w:hanging="0"/>
        <w:jc w:val="center"/>
        <w:rPr>
          <w:sz w:val="32"/>
        </w:rPr>
      </w:pPr>
      <w:r>
        <w:rPr>
          <w:sz w:val="32"/>
        </w:rPr>
        <w:t xml:space="preserve">по мерам поддержки для мобилизованных граждан </w:t>
      </w:r>
    </w:p>
    <w:p>
      <w:pPr>
        <w:pStyle w:val="Normal"/>
        <w:ind w:left="883" w:right="902" w:hanging="0"/>
        <w:jc w:val="center"/>
        <w:rPr>
          <w:sz w:val="32"/>
        </w:rPr>
      </w:pPr>
      <w:r>
        <w:rPr>
          <w:sz w:val="32"/>
        </w:rPr>
        <w:t>и членов их семей</w:t>
      </w:r>
    </w:p>
    <w:p>
      <w:pPr>
        <w:pStyle w:val="Normal"/>
        <w:rPr>
          <w:sz w:val="32"/>
        </w:rPr>
      </w:pPr>
      <w:r>
        <w:rPr>
          <w:sz w:val="32"/>
        </w:rPr>
      </w:r>
    </w:p>
    <w:p>
      <w:pPr>
        <w:pStyle w:val="Normal"/>
        <w:ind w:left="0" w:right="0" w:firstLine="708"/>
        <w:jc w:val="both"/>
        <w:rPr>
          <w:sz w:val="32"/>
        </w:rPr>
      </w:pPr>
      <w:r>
        <w:rPr>
          <w:sz w:val="32"/>
        </w:rPr>
        <w:t xml:space="preserve">В рамках реализации мер поддержки для мобилизованных граждан </w:t>
      </w:r>
      <w:r>
        <w:rPr/>
        <w:br/>
      </w:r>
      <w:r>
        <w:rPr>
          <w:sz w:val="32"/>
        </w:rPr>
        <w:t>и их семей на территории Ростовской области приняты следующие нормативно-правовые акты:</w:t>
      </w:r>
    </w:p>
    <w:p>
      <w:pPr>
        <w:pStyle w:val="Normal"/>
        <w:ind w:left="0" w:right="0" w:firstLine="708"/>
        <w:jc w:val="both"/>
        <w:rPr>
          <w:sz w:val="32"/>
        </w:rPr>
      </w:pPr>
      <w:r>
        <w:rPr>
          <w:sz w:val="32"/>
        </w:rPr>
        <w:t xml:space="preserve">Постановление Правительства Ростовской области от 26.09.2022 </w:t>
      </w:r>
      <w:r>
        <w:rPr/>
        <w:br/>
      </w:r>
      <w:r>
        <w:rPr>
          <w:sz w:val="32"/>
        </w:rPr>
        <w:t>№ 801 «Об утверждении Положения о порядке и условиях предоставления за счет средств резервного фонда Правительства Ростовской области единовременной материальной помощи членам семей погибших (умерших) военнослужащих, лиц, проходивших службу в войсках национальной гвардии Российской Федерации, принимавших участие                в специальной военной операции на территориях Донецкой Народной Республики, Луганской Народной Республики и Украины, а также членам семей погибших (умерших) граждан, добровольно принимавших участие    в специальной военной операции на территориях Донецкой Народной Республики, Луганской Народной Республики и Украины»;</w:t>
      </w:r>
    </w:p>
    <w:p>
      <w:pPr>
        <w:pStyle w:val="Normal"/>
        <w:ind w:left="0" w:right="0" w:firstLine="708"/>
        <w:jc w:val="both"/>
        <w:rPr>
          <w:sz w:val="32"/>
        </w:rPr>
      </w:pPr>
      <w:r>
        <w:rPr>
          <w:sz w:val="32"/>
        </w:rPr>
        <w:t xml:space="preserve">Постановление Правительства Ростовской области от 28.09.2022 </w:t>
      </w:r>
      <w:r>
        <w:rPr/>
        <w:br/>
      </w:r>
      <w:r>
        <w:rPr>
          <w:sz w:val="32"/>
        </w:rPr>
        <w:t xml:space="preserve">№ 802 «Об утверждении Положения о порядке и условиях предоставления гражданам, проживающим на территории Ростовской области, призванным на военную службу по частичной мобилизации </w:t>
      </w:r>
      <w:r>
        <w:rPr/>
        <w:br/>
      </w:r>
      <w:r>
        <w:rPr>
          <w:sz w:val="32"/>
        </w:rPr>
        <w:t>в Вооруженные Силы Российской Федерации, единовременной выплаты»;</w:t>
      </w:r>
    </w:p>
    <w:p>
      <w:pPr>
        <w:pStyle w:val="Normal"/>
        <w:ind w:left="0" w:right="0" w:firstLine="708"/>
        <w:jc w:val="both"/>
        <w:rPr>
          <w:sz w:val="32"/>
        </w:rPr>
      </w:pPr>
      <w:r>
        <w:rPr>
          <w:sz w:val="32"/>
        </w:rPr>
        <w:t xml:space="preserve">Постановление Правительства Ростовской области от 10.10.2022 </w:t>
      </w:r>
      <w:r>
        <w:rPr/>
        <w:br/>
      </w:r>
      <w:r>
        <w:rPr>
          <w:sz w:val="32"/>
        </w:rPr>
        <w:t>№ 845 «О мерах поддержки семей лиц, призванных на военную службу по мобилизации».</w:t>
      </w:r>
    </w:p>
    <w:p>
      <w:pPr>
        <w:pStyle w:val="Normal"/>
        <w:ind w:left="0" w:right="0" w:firstLine="708"/>
        <w:jc w:val="both"/>
        <w:rPr>
          <w:sz w:val="32"/>
        </w:rPr>
      </w:pPr>
      <w:r>
        <w:rPr>
          <w:sz w:val="32"/>
        </w:rPr>
        <w:t>В соответствии с вышеуказанными нормативно-правовыми актами для мобилизованных граждан предоставляются следующие меры:</w:t>
      </w:r>
    </w:p>
    <w:p>
      <w:pPr>
        <w:pStyle w:val="Normal"/>
        <w:ind w:left="0" w:right="0" w:firstLine="708"/>
        <w:jc w:val="both"/>
        <w:rPr>
          <w:sz w:val="32"/>
        </w:rPr>
      </w:pPr>
      <w:r>
        <w:rPr>
          <w:sz w:val="32"/>
        </w:rPr>
        <w:t>Единовременная региональная выплата в размере 150 тыс. рублей;</w:t>
      </w:r>
    </w:p>
    <w:p>
      <w:pPr>
        <w:pStyle w:val="Normal"/>
        <w:ind w:left="0" w:right="0" w:firstLine="708"/>
        <w:jc w:val="both"/>
        <w:rPr>
          <w:sz w:val="32"/>
        </w:rPr>
      </w:pPr>
      <w:r>
        <w:rPr>
          <w:sz w:val="32"/>
        </w:rPr>
        <w:t xml:space="preserve">Освобождение от уплаты транспортного и земельного налогов </w:t>
      </w:r>
      <w:r>
        <w:rPr/>
        <w:br/>
      </w:r>
      <w:r>
        <w:rPr>
          <w:sz w:val="32"/>
        </w:rPr>
        <w:t>по срокам уплаты: 1 декабря 2022 г. и 1 декабря 2023 г.</w:t>
      </w:r>
    </w:p>
    <w:p>
      <w:pPr>
        <w:pStyle w:val="Normal"/>
        <w:ind w:left="0" w:right="0" w:firstLine="708"/>
        <w:jc w:val="both"/>
        <w:rPr>
          <w:sz w:val="32"/>
        </w:rPr>
      </w:pPr>
      <w:r>
        <w:rPr>
          <w:sz w:val="32"/>
        </w:rPr>
        <w:t>Также предусмотрены меры поддержки для членов семей мобилизованных:</w:t>
      </w:r>
    </w:p>
    <w:p>
      <w:pPr>
        <w:pStyle w:val="Normal"/>
        <w:ind w:left="0" w:right="0" w:firstLine="708"/>
        <w:jc w:val="both"/>
        <w:rPr>
          <w:sz w:val="32"/>
        </w:rPr>
      </w:pPr>
      <w:r>
        <w:rPr>
          <w:sz w:val="32"/>
        </w:rPr>
        <w:t xml:space="preserve">Единовременная материальная помощь членам семьи погибшего </w:t>
      </w:r>
      <w:r>
        <w:rPr/>
        <w:br/>
      </w:r>
      <w:r>
        <w:rPr>
          <w:sz w:val="32"/>
        </w:rPr>
        <w:t>в размере 2 млн. рублей;</w:t>
      </w:r>
    </w:p>
    <w:p>
      <w:pPr>
        <w:pStyle w:val="Normal"/>
        <w:ind w:left="0" w:right="0" w:firstLine="708"/>
        <w:jc w:val="both"/>
        <w:rPr>
          <w:sz w:val="32"/>
        </w:rPr>
      </w:pPr>
      <w:r>
        <w:rPr>
          <w:sz w:val="32"/>
        </w:rPr>
        <w:t xml:space="preserve">Бесплатное горячее питание обучающимся государственных </w:t>
      </w:r>
      <w:r>
        <w:rPr/>
        <w:br/>
      </w:r>
      <w:r>
        <w:rPr>
          <w:sz w:val="32"/>
        </w:rPr>
        <w:t>и муниципальных общеобразовательных организаций Ростовской области;</w:t>
      </w:r>
    </w:p>
    <w:p>
      <w:pPr>
        <w:pStyle w:val="Normal"/>
        <w:ind w:left="0" w:right="0" w:firstLine="708"/>
        <w:jc w:val="both"/>
        <w:rPr>
          <w:sz w:val="32"/>
        </w:rPr>
      </w:pPr>
      <w:r>
        <w:rPr>
          <w:sz w:val="32"/>
        </w:rPr>
        <w:t xml:space="preserve">Бесплатное одноразовое горячее питание, в том числе путем выплаты компенсации, студентам, обучающимся по очной форме обучения по программам среднего профессионального образования </w:t>
      </w:r>
      <w:r>
        <w:rPr/>
        <w:br/>
      </w:r>
      <w:r>
        <w:rPr>
          <w:sz w:val="32"/>
        </w:rPr>
        <w:t>в государственных профессиональных образовательных организациях Ростовской области;</w:t>
      </w:r>
    </w:p>
    <w:p>
      <w:pPr>
        <w:pStyle w:val="Normal"/>
        <w:ind w:left="0" w:right="0" w:firstLine="708"/>
        <w:jc w:val="both"/>
        <w:rPr>
          <w:sz w:val="32"/>
        </w:rPr>
      </w:pPr>
      <w:r>
        <w:rPr>
          <w:sz w:val="32"/>
        </w:rPr>
        <w:t>Бесплатное посещение занятий детям по дополнительным образовательным программам в государственных и муниципальных организациях дополнительного образования Ростовской области;</w:t>
      </w:r>
    </w:p>
    <w:p>
      <w:pPr>
        <w:pStyle w:val="Normal"/>
        <w:ind w:left="0" w:right="0" w:firstLine="708"/>
        <w:jc w:val="both"/>
        <w:rPr>
          <w:sz w:val="32"/>
        </w:rPr>
      </w:pPr>
      <w:r>
        <w:rPr>
          <w:sz w:val="32"/>
        </w:rPr>
        <w:t>Организация профессиональной ориентации и содействие в поиске работы;</w:t>
      </w:r>
    </w:p>
    <w:p>
      <w:pPr>
        <w:pStyle w:val="Normal"/>
        <w:ind w:left="0" w:right="0" w:firstLine="708"/>
        <w:jc w:val="both"/>
        <w:rPr>
          <w:sz w:val="32"/>
        </w:rPr>
      </w:pPr>
      <w:r>
        <w:rPr>
          <w:sz w:val="32"/>
        </w:rPr>
        <w:t>Организация временного трудоустройства несовершеннолетних граждан в возрасте от 14 до 18 лет в свободное от учебы время;</w:t>
      </w:r>
    </w:p>
    <w:p>
      <w:pPr>
        <w:pStyle w:val="Normal"/>
        <w:ind w:left="0" w:right="0" w:firstLine="708"/>
        <w:jc w:val="both"/>
        <w:rPr>
          <w:sz w:val="32"/>
        </w:rPr>
      </w:pPr>
      <w:r>
        <w:rPr>
          <w:sz w:val="32"/>
        </w:rPr>
        <w:t>Организация профессионального обучения, дополнительного профессионального образования;</w:t>
      </w:r>
    </w:p>
    <w:p>
      <w:pPr>
        <w:pStyle w:val="Normal"/>
        <w:ind w:left="0" w:right="0" w:firstLine="708"/>
        <w:jc w:val="both"/>
        <w:rPr>
          <w:sz w:val="32"/>
        </w:rPr>
      </w:pPr>
      <w:r>
        <w:rPr>
          <w:sz w:val="32"/>
        </w:rPr>
        <w:t>Право на внеочередное зачисление в муниципальную образовательную организацию, реализующую программу дошкольного образования;</w:t>
      </w:r>
    </w:p>
    <w:p>
      <w:pPr>
        <w:pStyle w:val="Normal"/>
        <w:ind w:left="0" w:right="0" w:firstLine="708"/>
        <w:jc w:val="both"/>
        <w:rPr>
          <w:sz w:val="32"/>
        </w:rPr>
      </w:pPr>
      <w:r>
        <w:rPr>
          <w:sz w:val="32"/>
        </w:rPr>
        <w:t xml:space="preserve">Освобождение от платы, взимаемой за присмотр и уход за ребенком в муниципальных образовательных организациях, реализующих программы дошкольного образования;  </w:t>
      </w:r>
    </w:p>
    <w:p>
      <w:pPr>
        <w:pStyle w:val="Normal"/>
        <w:ind w:left="0" w:right="0" w:firstLine="708"/>
        <w:jc w:val="both"/>
        <w:rPr>
          <w:sz w:val="32"/>
        </w:rPr>
      </w:pPr>
      <w:r>
        <w:rPr>
          <w:sz w:val="32"/>
        </w:rPr>
        <w:t xml:space="preserve">Оказание социальных услуг в форме социального обслуживания </w:t>
      </w:r>
      <w:r>
        <w:rPr/>
        <w:br/>
      </w:r>
      <w:r>
        <w:rPr>
          <w:sz w:val="32"/>
        </w:rPr>
        <w:t xml:space="preserve">на дому признанным в установленном порядке нуждающимися </w:t>
      </w:r>
      <w:r>
        <w:rPr/>
        <w:br/>
      </w:r>
      <w:r>
        <w:rPr>
          <w:sz w:val="32"/>
        </w:rPr>
        <w:t xml:space="preserve">в социальном обслуживании; </w:t>
      </w:r>
    </w:p>
    <w:p>
      <w:pPr>
        <w:pStyle w:val="Normal"/>
        <w:ind w:left="0" w:right="0" w:firstLine="708"/>
        <w:jc w:val="both"/>
        <w:rPr>
          <w:sz w:val="32"/>
        </w:rPr>
      </w:pPr>
      <w:r>
        <w:rPr>
          <w:sz w:val="32"/>
        </w:rPr>
        <w:t xml:space="preserve">Принятие в первоочередном порядке на социальное обслуживание </w:t>
      </w:r>
      <w:r>
        <w:rPr/>
        <w:br/>
      </w:r>
      <w:r>
        <w:rPr>
          <w:sz w:val="32"/>
        </w:rPr>
        <w:t>в организации социального обслуживания, включенные в Реестр поставщиков социальных услуг Ростовской области, членов семьи, признанных нуждающимися в социальном обслуживании в стационарной форме, независимо от состава семьи;</w:t>
      </w:r>
    </w:p>
    <w:p>
      <w:pPr>
        <w:pStyle w:val="Normal"/>
        <w:ind w:left="0" w:right="0" w:firstLine="708"/>
        <w:jc w:val="both"/>
        <w:rPr>
          <w:sz w:val="32"/>
        </w:rPr>
      </w:pPr>
      <w:r>
        <w:rPr>
          <w:sz w:val="32"/>
        </w:rPr>
        <w:t xml:space="preserve">Оказание членам семей лиц, призванных на военную службу </w:t>
      </w:r>
      <w:r>
        <w:rPr/>
        <w:br/>
      </w:r>
      <w:r>
        <w:rPr>
          <w:sz w:val="32"/>
        </w:rPr>
        <w:t xml:space="preserve">по мобилизации, адресной, психологической и юридической помощи </w:t>
      </w:r>
      <w:r>
        <w:rPr/>
        <w:br/>
      </w:r>
      <w:r>
        <w:rPr>
          <w:sz w:val="32"/>
        </w:rPr>
        <w:t>в рамках Общероссийской акции взаимопомощи «#МЫВМЕСТЕ»;</w:t>
      </w:r>
    </w:p>
    <w:p>
      <w:pPr>
        <w:pStyle w:val="Normal"/>
        <w:ind w:left="0" w:right="0" w:firstLine="708"/>
        <w:jc w:val="both"/>
        <w:rPr>
          <w:sz w:val="32"/>
        </w:rPr>
      </w:pPr>
      <w:r>
        <w:rPr>
          <w:sz w:val="32"/>
        </w:rPr>
        <w:t>Бесплатная юридическая помощь в виде правового консультирования в устной и письменной формах.</w:t>
      </w:r>
    </w:p>
    <w:p>
      <w:pPr>
        <w:pStyle w:val="Normal"/>
        <w:ind w:left="0" w:right="0" w:firstLine="708"/>
        <w:jc w:val="both"/>
        <w:rPr>
          <w:sz w:val="32"/>
        </w:rPr>
      </w:pPr>
      <w:r>
        <w:rPr>
          <w:sz w:val="32"/>
        </w:rPr>
        <w:t>Также в Ростовской области создан фонд поддержки регионального сотрудничества и развития. Все желающие включая организации или физические лица могут перечислять туда средства для обеспечения нужд мобилизованных граждан. За целевым использованием поступающих средств будет следить наблюдательный совет, в составе которого представители общественности.</w:t>
      </w:r>
    </w:p>
    <w:p>
      <w:pPr>
        <w:pStyle w:val="Normal"/>
        <w:ind w:left="0" w:right="0" w:firstLine="708"/>
        <w:jc w:val="both"/>
        <w:rPr>
          <w:sz w:val="32"/>
        </w:rPr>
      </w:pPr>
      <w:r>
        <w:rPr>
          <w:sz w:val="32"/>
        </w:rPr>
        <w:t xml:space="preserve">Операторам Службы «122» доведены для работы региональные скрипты (ответы) по мерам поддержки мобилизованных граждан </w:t>
      </w:r>
      <w:r>
        <w:rPr/>
        <w:br/>
      </w:r>
      <w:bookmarkStart w:id="0" w:name="_GoBack"/>
      <w:bookmarkEnd w:id="0"/>
      <w:r>
        <w:rPr>
          <w:sz w:val="32"/>
        </w:rPr>
        <w:t>и членов их семей.</w:t>
      </w:r>
    </w:p>
    <w:sectPr>
      <w:type w:val="nextPage"/>
      <w:pgSz w:w="11906" w:h="16838"/>
      <w:pgMar w:left="1134" w:right="567" w:gutter="0" w:header="0" w:top="568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Mangal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eading 10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toc 10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/>
      <w:bidi w:val="0"/>
      <w:spacing w:lineRule="auto" w:line="276" w:before="120" w:after="120"/>
      <w:ind w:left="0" w:right="0" w:hanging="0"/>
      <w:jc w:val="left"/>
      <w:outlineLvl w:val="0"/>
    </w:pPr>
    <w:rPr>
      <w:rFonts w:ascii="XO Thames" w:hAnsi="XO Thames" w:eastAsia="NSimSun" w:cs="Mang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bidi w:val="0"/>
      <w:spacing w:lineRule="auto" w:line="276" w:before="120" w:after="120"/>
      <w:ind w:left="0" w:right="0" w:hanging="0"/>
      <w:jc w:val="left"/>
      <w:outlineLvl w:val="1"/>
    </w:pPr>
    <w:rPr>
      <w:rFonts w:ascii="XO Thames" w:hAnsi="XO Thames" w:eastAsia="NSimSun" w:cs="Mangal"/>
      <w:b/>
      <w:color w:val="00A0FF"/>
      <w:spacing w:val="0"/>
      <w:kern w:val="0"/>
      <w:sz w:val="26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/>
      <w:bidi w:val="0"/>
      <w:spacing w:lineRule="auto" w:line="276" w:before="0" w:after="200"/>
      <w:ind w:left="0" w:right="0" w:hanging="0"/>
      <w:jc w:val="left"/>
      <w:outlineLvl w:val="2"/>
    </w:pPr>
    <w:rPr>
      <w:rFonts w:ascii="XO Thames" w:hAnsi="XO Thames" w:eastAsia="NSimSun" w:cs="Mangal"/>
      <w:b/>
      <w:i/>
      <w:color w:val="000000"/>
      <w:spacing w:val="0"/>
      <w:kern w:val="0"/>
      <w:sz w:val="22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bidi w:val="0"/>
      <w:spacing w:lineRule="auto" w:line="276" w:before="120" w:after="120"/>
      <w:ind w:left="0" w:right="0" w:hanging="0"/>
      <w:jc w:val="left"/>
      <w:outlineLvl w:val="3"/>
    </w:pPr>
    <w:rPr>
      <w:rFonts w:ascii="XO Thames" w:hAnsi="XO Thames" w:eastAsia="NSimSun" w:cs="Mangal"/>
      <w:b/>
      <w:color w:val="595959"/>
      <w:spacing w:val="0"/>
      <w:kern w:val="0"/>
      <w:sz w:val="26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bidi w:val="0"/>
      <w:spacing w:lineRule="auto" w:line="276" w:before="120" w:after="120"/>
      <w:ind w:left="0" w:right="0" w:hanging="0"/>
      <w:jc w:val="left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/>
  </w:style>
  <w:style w:type="character" w:styleId="Contents4">
    <w:name w:val="Contents 4"/>
    <w:qFormat/>
    <w:rPr/>
  </w:style>
  <w:style w:type="character" w:styleId="Contents6">
    <w:name w:val="Contents 6"/>
    <w:qFormat/>
    <w:rPr/>
  </w:style>
  <w:style w:type="character" w:styleId="Contents7">
    <w:name w:val="Contents 7"/>
    <w:qFormat/>
    <w:rPr/>
  </w:style>
  <w:style w:type="character" w:styleId="Heading3">
    <w:name w:val="Heading 3"/>
    <w:qFormat/>
    <w:rPr>
      <w:rFonts w:ascii="XO Thames" w:hAnsi="XO Thames"/>
      <w:b/>
      <w:i/>
      <w:color w:val="000000"/>
    </w:rPr>
  </w:style>
  <w:style w:type="character" w:styleId="NoSpacing">
    <w:name w:val="No Spacing"/>
    <w:link w:val="NoSpacing1"/>
    <w:qFormat/>
    <w:rPr>
      <w:rFonts w:ascii="Calibri" w:hAnsi="Calibri"/>
    </w:rPr>
  </w:style>
  <w:style w:type="character" w:styleId="Contents3">
    <w:name w:val="Contents 3"/>
    <w:qFormat/>
    <w:rPr/>
  </w:style>
  <w:style w:type="character" w:styleId="Heading5">
    <w:name w:val="Heading 5"/>
    <w:qFormat/>
    <w:rPr>
      <w:rFonts w:ascii="XO Thames" w:hAnsi="XO Thames"/>
      <w:b/>
      <w:color w:val="000000"/>
      <w:sz w:val="22"/>
    </w:rPr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Style9">
    <w:name w:val="Интернет-ссылка"/>
    <w:basedOn w:val="DefaultParagraphFont"/>
    <w:rPr>
      <w:color w:val="0000FF" w:themeColor="hyperlink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</w:rPr>
  </w:style>
  <w:style w:type="character" w:styleId="DefaultParagraphFont">
    <w:name w:val="Default Paragraph Font"/>
    <w:link w:val="DefaultParagraphFont1"/>
    <w:qFormat/>
    <w:rPr/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Contents9">
    <w:name w:val="Contents 9"/>
    <w:qFormat/>
    <w:rPr/>
  </w:style>
  <w:style w:type="character" w:styleId="Contents8">
    <w:name w:val="Contents 8"/>
    <w:qFormat/>
    <w:rPr/>
  </w:style>
  <w:style w:type="character" w:styleId="BalloonText">
    <w:name w:val="Balloon Text"/>
    <w:link w:val="BalloonText1"/>
    <w:qFormat/>
    <w:rPr>
      <w:rFonts w:ascii="Segoe UI" w:hAnsi="Segoe UI"/>
      <w:sz w:val="18"/>
    </w:rPr>
  </w:style>
  <w:style w:type="character" w:styleId="Contents5">
    <w:name w:val="Contents 5"/>
    <w:qFormat/>
    <w:rPr/>
  </w:style>
  <w:style w:type="character" w:styleId="Subtitle">
    <w:name w:val="Subtitle"/>
    <w:qFormat/>
    <w:rPr>
      <w:rFonts w:ascii="XO Thames" w:hAnsi="XO Thames"/>
      <w:i/>
      <w:color w:val="616161"/>
      <w:sz w:val="24"/>
    </w:rPr>
  </w:style>
  <w:style w:type="character" w:styleId="Toc10">
    <w:name w:val="toc 10"/>
    <w:link w:val="Toc101"/>
    <w:qFormat/>
    <w:rPr/>
  </w:style>
  <w:style w:type="character" w:styleId="Title">
    <w:name w:val="Title"/>
    <w:qFormat/>
    <w:rPr>
      <w:rFonts w:ascii="XO Thames" w:hAnsi="XO Thames"/>
      <w:b/>
      <w:sz w:val="52"/>
    </w:rPr>
  </w:style>
  <w:style w:type="character" w:styleId="Heading4">
    <w:name w:val="Heading 4"/>
    <w:qFormat/>
    <w:rPr>
      <w:rFonts w:ascii="XO Thames" w:hAnsi="XO Thames"/>
      <w:b/>
      <w:color w:val="595959"/>
      <w:sz w:val="26"/>
    </w:rPr>
  </w:style>
  <w:style w:type="character" w:styleId="Heading2">
    <w:name w:val="Heading 2"/>
    <w:qFormat/>
    <w:rPr>
      <w:rFonts w:ascii="XO Thames" w:hAnsi="XO Thames"/>
      <w:b/>
      <w:color w:val="00A0FF"/>
      <w:sz w:val="26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Mangal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21">
    <w:name w:val="TOC 2"/>
    <w:next w:val="Normal"/>
    <w:uiPriority w:val="39"/>
    <w:pPr>
      <w:widowControl/>
      <w:bidi w:val="0"/>
      <w:spacing w:lineRule="auto" w:line="276" w:before="0" w:after="200"/>
      <w:ind w:left="200" w:right="0" w:hanging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/>
      <w:bidi w:val="0"/>
      <w:spacing w:lineRule="auto" w:line="276" w:before="0" w:after="200"/>
      <w:ind w:left="600" w:right="0" w:hanging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bidi w:val="0"/>
      <w:spacing w:lineRule="auto" w:line="276" w:before="0" w:after="200"/>
      <w:ind w:left="1000" w:right="0" w:hanging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bidi w:val="0"/>
      <w:spacing w:lineRule="auto" w:line="276" w:before="0" w:after="200"/>
      <w:ind w:left="1200" w:right="0" w:hanging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NoSpacing1">
    <w:name w:val="No Spacing"/>
    <w:link w:val="NoSpacing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/>
      <w:bidi w:val="0"/>
      <w:spacing w:lineRule="auto" w:line="276" w:before="0" w:after="200"/>
      <w:ind w:left="400" w:right="0" w:hanging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Internetlink">
    <w:name w:val="Hyperlink"/>
    <w:basedOn w:val="DefaultParagraphFont1"/>
    <w:qFormat/>
    <w:pPr/>
    <w:rPr>
      <w:color w:val="0000FF" w:themeColor="hyperlink"/>
      <w:u w:val="single"/>
    </w:rPr>
  </w:style>
  <w:style w:type="paragraph" w:styleId="Footnote1">
    <w:name w:val="Footnote"/>
    <w:link w:val="Footnote"/>
    <w:qFormat/>
    <w:pPr>
      <w:widowControl/>
      <w:bidi w:val="0"/>
      <w:spacing w:lineRule="auto" w:line="276" w:before="0" w:after="200"/>
      <w:ind w:left="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uiPriority w:val="39"/>
    <w:pPr>
      <w:widowControl/>
      <w:bidi w:val="0"/>
      <w:spacing w:lineRule="auto" w:line="276" w:before="0" w:after="200"/>
      <w:ind w:left="0" w:right="0" w:hanging="0"/>
      <w:jc w:val="left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DefaultParagraphFont1">
    <w:name w:val="Default Paragraph Font"/>
    <w:link w:val="DefaultParagraphFont"/>
    <w:qFormat/>
    <w:pPr>
      <w:widowControl/>
      <w:bidi w:val="0"/>
      <w:spacing w:lineRule="auto" w:line="276" w:before="0" w:after="200"/>
      <w:ind w:left="0" w:right="0" w:hanging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15">
    <w:name w:val="Колонтитул"/>
    <w:qFormat/>
    <w:pPr>
      <w:widowControl/>
      <w:bidi w:val="0"/>
      <w:spacing w:lineRule="auto" w:line="360" w:before="0" w:after="200"/>
      <w:ind w:left="0" w:right="0" w:hanging="0"/>
      <w:jc w:val="left"/>
    </w:pPr>
    <w:rPr>
      <w:rFonts w:ascii="XO Thames" w:hAnsi="XO Thames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bidi w:val="0"/>
      <w:spacing w:lineRule="auto" w:line="276" w:before="0" w:after="200"/>
      <w:ind w:left="1600" w:right="0" w:hanging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bidi w:val="0"/>
      <w:spacing w:lineRule="auto" w:line="276" w:before="0" w:after="200"/>
      <w:ind w:left="1400" w:right="0" w:hanging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BalloonText1">
    <w:name w:val="Balloon Text"/>
    <w:basedOn w:val="Normal"/>
    <w:link w:val="BalloonText"/>
    <w:qFormat/>
    <w:pPr/>
    <w:rPr>
      <w:rFonts w:ascii="Segoe UI" w:hAnsi="Segoe UI"/>
      <w:sz w:val="18"/>
    </w:rPr>
  </w:style>
  <w:style w:type="paragraph" w:styleId="51">
    <w:name w:val="TOC 5"/>
    <w:next w:val="Normal"/>
    <w:uiPriority w:val="39"/>
    <w:pPr>
      <w:widowControl/>
      <w:bidi w:val="0"/>
      <w:spacing w:lineRule="auto" w:line="276" w:before="0" w:after="200"/>
      <w:ind w:left="800" w:right="0" w:hanging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16">
    <w:name w:val="Subtitle"/>
    <w:next w:val="Normal"/>
    <w:uiPriority w:val="11"/>
    <w:qFormat/>
    <w:pPr>
      <w:widowControl/>
      <w:bidi w:val="0"/>
      <w:spacing w:lineRule="auto" w:line="276" w:before="0" w:after="200"/>
      <w:ind w:left="0" w:right="0" w:hanging="0"/>
      <w:jc w:val="left"/>
    </w:pPr>
    <w:rPr>
      <w:rFonts w:ascii="XO Thames" w:hAnsi="XO Thames" w:eastAsia="NSimSun" w:cs="Mangal"/>
      <w:i/>
      <w:color w:val="616161"/>
      <w:spacing w:val="0"/>
      <w:kern w:val="0"/>
      <w:sz w:val="24"/>
      <w:szCs w:val="20"/>
      <w:lang w:val="ru-RU" w:eastAsia="zh-CN" w:bidi="hi-IN"/>
    </w:rPr>
  </w:style>
  <w:style w:type="paragraph" w:styleId="Toc101">
    <w:name w:val="toc 10"/>
    <w:next w:val="Normal"/>
    <w:link w:val="Toc10"/>
    <w:uiPriority w:val="39"/>
    <w:qFormat/>
    <w:pPr>
      <w:widowControl/>
      <w:bidi w:val="0"/>
      <w:spacing w:lineRule="auto" w:line="276" w:before="0" w:after="200"/>
      <w:ind w:left="1800" w:right="0" w:hanging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17">
    <w:name w:val="Title"/>
    <w:next w:val="Normal"/>
    <w:uiPriority w:val="10"/>
    <w:qFormat/>
    <w:pPr>
      <w:widowControl/>
      <w:bidi w:val="0"/>
      <w:spacing w:lineRule="auto" w:line="276" w:before="0" w:after="200"/>
      <w:ind w:left="0" w:right="0" w:hanging="0"/>
      <w:jc w:val="left"/>
    </w:pPr>
    <w:rPr>
      <w:rFonts w:ascii="XO Thames" w:hAnsi="XO Thames" w:eastAsia="NSimSun" w:cs="Mangal"/>
      <w:b/>
      <w:color w:val="000000"/>
      <w:spacing w:val="0"/>
      <w:kern w:val="0"/>
      <w:sz w:val="52"/>
      <w:szCs w:val="20"/>
      <w:lang w:val="ru-RU" w:eastAsia="zh-CN" w:bidi="hi-IN"/>
    </w:rPr>
  </w:style>
  <w:style w:type="table" w:default="1" w:styleId="Style_25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26">
    <w:name w:val="Table Grid"/>
    <w:basedOn w:val="Style_25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LibreOffice/7.3.1.3$Windows_X86_64 LibreOffice_project/a69ca51ded25f3eefd52d7bf9a5fad8c90b87951</Application>
  <AppVersion>15.0000</AppVersion>
  <Pages>2</Pages>
  <Words>483</Words>
  <Characters>3631</Characters>
  <CharactersWithSpaces>4126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2022-10-20T09:20:10Z</dcterms:modified>
  <cp:revision>0</cp:revision>
  <dc:subject/>
  <dc:title/>
</cp:coreProperties>
</file>